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7D18" w14:textId="77777777" w:rsidR="00A05C35" w:rsidRDefault="00A05C35" w:rsidP="00A05C35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1C76BD27" wp14:editId="12433326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29EEC289" w14:textId="77777777" w:rsidR="00A05C35" w:rsidRDefault="00A05C35" w:rsidP="00A05C35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АВТОНОМНОЕ НЕКОМЕРЧЕСКАЯ ОРГАНИЗАЦИЯ 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47A9B9D1" w14:textId="77777777" w:rsidR="00A05C35" w:rsidRDefault="00A05C35" w:rsidP="00A05C35">
      <w:pPr>
        <w:spacing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350"/>
        <w:gridCol w:w="222"/>
        <w:gridCol w:w="2991"/>
        <w:gridCol w:w="2935"/>
      </w:tblGrid>
      <w:tr w:rsidR="00A05C35" w14:paraId="2D80F1A4" w14:textId="77777777" w:rsidTr="007C74CF">
        <w:tc>
          <w:tcPr>
            <w:tcW w:w="0" w:type="auto"/>
            <w:shd w:val="clear" w:color="auto" w:fill="auto"/>
          </w:tcPr>
          <w:p w14:paraId="554A5BAB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20AB99AC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331A32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A05C35" w14:paraId="22BCAAB7" w14:textId="77777777" w:rsidTr="007C74CF">
        <w:tc>
          <w:tcPr>
            <w:tcW w:w="0" w:type="auto"/>
            <w:shd w:val="clear" w:color="auto" w:fill="auto"/>
          </w:tcPr>
          <w:p w14:paraId="46C2F59F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055B4D2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306B0E2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A05C35" w14:paraId="67CA821A" w14:textId="77777777" w:rsidTr="007C74CF">
        <w:tc>
          <w:tcPr>
            <w:tcW w:w="0" w:type="auto"/>
            <w:shd w:val="clear" w:color="auto" w:fill="auto"/>
          </w:tcPr>
          <w:p w14:paraId="3AEDF570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55EDA40D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BB62D0" w14:textId="77777777" w:rsidR="00A05C35" w:rsidRDefault="00A05C35" w:rsidP="007C74CF">
            <w:pPr>
              <w:pStyle w:val="af2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A05C35" w14:paraId="0B99F197" w14:textId="77777777" w:rsidTr="007C74CF">
        <w:tc>
          <w:tcPr>
            <w:tcW w:w="0" w:type="auto"/>
            <w:shd w:val="clear" w:color="auto" w:fill="auto"/>
          </w:tcPr>
          <w:p w14:paraId="5EEE16A8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6EE8047E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shd w:val="clear" w:color="auto" w:fill="auto"/>
          </w:tcPr>
          <w:p w14:paraId="56015154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A05C35" w14:paraId="5F84C89E" w14:textId="77777777" w:rsidTr="007C74CF">
        <w:tc>
          <w:tcPr>
            <w:tcW w:w="0" w:type="auto"/>
            <w:shd w:val="clear" w:color="auto" w:fill="auto"/>
          </w:tcPr>
          <w:p w14:paraId="2BD5DAD0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463836CD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9B3D1F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очная</w:t>
            </w:r>
          </w:p>
        </w:tc>
      </w:tr>
      <w:tr w:rsidR="00A05C35" w14:paraId="3B7D7046" w14:textId="77777777" w:rsidTr="007C74CF">
        <w:tc>
          <w:tcPr>
            <w:tcW w:w="0" w:type="auto"/>
            <w:shd w:val="clear" w:color="auto" w:fill="auto"/>
          </w:tcPr>
          <w:p w14:paraId="04114712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5E01FB5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shd w:val="clear" w:color="auto" w:fill="auto"/>
          </w:tcPr>
          <w:p w14:paraId="222D3600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A05C35" w14:paraId="1DE5ADF6" w14:textId="77777777" w:rsidTr="007C74CF">
        <w:trPr>
          <w:gridAfter w:val="1"/>
          <w:wAfter w:w="396" w:type="dxa"/>
          <w:trHeight w:val="68"/>
        </w:trPr>
        <w:tc>
          <w:tcPr>
            <w:tcW w:w="0" w:type="auto"/>
            <w:shd w:val="clear" w:color="auto" w:fill="auto"/>
          </w:tcPr>
          <w:p w14:paraId="5648F1D7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7298BA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259E653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0F4F6580" w14:textId="77777777" w:rsidR="00A05C35" w:rsidRDefault="00A05C35" w:rsidP="00A05C35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3F59CA3" w14:textId="52B6F654" w:rsidR="00A05C35" w:rsidRPr="00C21CAD" w:rsidRDefault="00A05C35" w:rsidP="00A05C35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</w:rPr>
        <w:t>5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719"/>
        <w:gridCol w:w="384"/>
        <w:gridCol w:w="225"/>
        <w:gridCol w:w="224"/>
        <w:gridCol w:w="6946"/>
      </w:tblGrid>
      <w:tr w:rsidR="00A05C35" w14:paraId="2B86D34B" w14:textId="77777777" w:rsidTr="007C74CF">
        <w:tc>
          <w:tcPr>
            <w:tcW w:w="0" w:type="auto"/>
            <w:shd w:val="clear" w:color="auto" w:fill="auto"/>
          </w:tcPr>
          <w:p w14:paraId="308721CF" w14:textId="77777777" w:rsidR="00A05C35" w:rsidRDefault="00A05C35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4B28E122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39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A51B482" w14:textId="2B6B91B5" w:rsidR="00A05C35" w:rsidRDefault="00A05C35" w:rsidP="007C74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C35">
              <w:rPr>
                <w:rFonts w:ascii="Times New Roman" w:hAnsi="Times New Roman"/>
                <w:sz w:val="28"/>
                <w:szCs w:val="28"/>
              </w:rPr>
              <w:t>Адаптивность и поведение пользователей</w:t>
            </w:r>
          </w:p>
        </w:tc>
      </w:tr>
      <w:tr w:rsidR="00A05C35" w14:paraId="3399FFEE" w14:textId="77777777" w:rsidTr="007C74CF">
        <w:tc>
          <w:tcPr>
            <w:tcW w:w="0" w:type="auto"/>
            <w:gridSpan w:val="3"/>
            <w:shd w:val="clear" w:color="auto" w:fill="auto"/>
          </w:tcPr>
          <w:p w14:paraId="6E64A5A8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6340DD3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4" w:space="0" w:color="000000"/>
            </w:tcBorders>
            <w:shd w:val="clear" w:color="auto" w:fill="auto"/>
          </w:tcPr>
          <w:p w14:paraId="360331CB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A05C35" w14:paraId="79E65A47" w14:textId="77777777" w:rsidTr="007C74CF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FC165E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2F2E3E0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39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B1CC60A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05C35" w14:paraId="6F3B7111" w14:textId="77777777" w:rsidTr="007C7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5223E2C" w14:textId="77777777" w:rsidR="00A05C35" w:rsidRDefault="00A05C35" w:rsidP="007C74CF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5DB7D282" w14:textId="77777777" w:rsidR="00A05C35" w:rsidRDefault="00A05C35" w:rsidP="007C74CF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013ABBA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15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3DAFEAFE" w14:textId="77777777" w:rsidR="00A05C35" w:rsidRDefault="00A05C35" w:rsidP="007C74CF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</w:rPr>
            </w:pPr>
          </w:p>
          <w:p w14:paraId="20D6E5D2" w14:textId="77777777" w:rsidR="00A05C35" w:rsidRDefault="00A05C35" w:rsidP="007C74CF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Оптимизация веб-приложений</w:t>
            </w:r>
          </w:p>
        </w:tc>
      </w:tr>
      <w:tr w:rsidR="00A05C35" w14:paraId="1F284D9B" w14:textId="77777777" w:rsidTr="007C7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66D99D4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5B32F36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626F241" w14:textId="77777777" w:rsidR="00A05C35" w:rsidRDefault="00A05C35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6835EA4E" w14:textId="77777777" w:rsidR="00A05C35" w:rsidRDefault="00A05C35" w:rsidP="00A05C35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776A989C" w14:textId="77777777" w:rsidR="00A05C35" w:rsidRDefault="00A05C35" w:rsidP="00A05C35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7201"/>
      </w:tblGrid>
      <w:tr w:rsidR="00A05C35" w14:paraId="1D2281B1" w14:textId="77777777" w:rsidTr="007C74CF">
        <w:tc>
          <w:tcPr>
            <w:tcW w:w="2061" w:type="dxa"/>
            <w:shd w:val="clear" w:color="auto" w:fill="auto"/>
          </w:tcPr>
          <w:p w14:paraId="4F6D968D" w14:textId="77777777" w:rsidR="00A05C35" w:rsidRDefault="00A05C35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A357F0E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31582224" w14:textId="77777777" w:rsidR="00A05C35" w:rsidRDefault="00A05C35" w:rsidP="007C74CF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</w:tr>
      <w:tr w:rsidR="00A05C35" w14:paraId="6934E72A" w14:textId="77777777" w:rsidTr="007C74CF">
        <w:tc>
          <w:tcPr>
            <w:tcW w:w="2061" w:type="dxa"/>
            <w:shd w:val="clear" w:color="auto" w:fill="auto"/>
          </w:tcPr>
          <w:p w14:paraId="4FD62922" w14:textId="77777777" w:rsidR="00A05C35" w:rsidRDefault="00A05C35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5F4E247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7E99B154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</w:tr>
      <w:tr w:rsidR="00A05C35" w14:paraId="13544319" w14:textId="77777777" w:rsidTr="007C74CF">
        <w:tc>
          <w:tcPr>
            <w:tcW w:w="2061" w:type="dxa"/>
            <w:shd w:val="clear" w:color="auto" w:fill="auto"/>
          </w:tcPr>
          <w:p w14:paraId="2D9515A5" w14:textId="77777777" w:rsidR="00A05C35" w:rsidRDefault="00A05C35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4B6C172F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0CC2416A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ДКИП – ???</w:t>
            </w:r>
          </w:p>
        </w:tc>
      </w:tr>
      <w:tr w:rsidR="00A05C35" w14:paraId="572A32C4" w14:textId="77777777" w:rsidTr="007C74CF">
        <w:tc>
          <w:tcPr>
            <w:tcW w:w="2061" w:type="dxa"/>
            <w:shd w:val="clear" w:color="auto" w:fill="auto"/>
          </w:tcPr>
          <w:p w14:paraId="229EC36A" w14:textId="77777777" w:rsidR="00A05C35" w:rsidRDefault="00A05C35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FBB8F3A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1972761F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08EA6931" w14:textId="77777777" w:rsidR="00A05C35" w:rsidRDefault="00A05C35" w:rsidP="00A05C35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23D22411" w14:textId="77777777" w:rsidR="00A05C35" w:rsidRDefault="00A05C35" w:rsidP="00A05C35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A05C35" w14:paraId="208C30FD" w14:textId="77777777" w:rsidTr="007C74CF">
        <w:tc>
          <w:tcPr>
            <w:tcW w:w="2268" w:type="dxa"/>
            <w:shd w:val="clear" w:color="auto" w:fill="auto"/>
          </w:tcPr>
          <w:p w14:paraId="4FBE5A8B" w14:textId="77777777" w:rsidR="00A05C35" w:rsidRDefault="00A05C35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4A47371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43ED93F0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0C512885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A05C35" w14:paraId="0722D0F6" w14:textId="77777777" w:rsidTr="007C74CF">
        <w:tc>
          <w:tcPr>
            <w:tcW w:w="2268" w:type="dxa"/>
            <w:shd w:val="clear" w:color="auto" w:fill="auto"/>
          </w:tcPr>
          <w:p w14:paraId="3D401601" w14:textId="77777777" w:rsidR="00A05C35" w:rsidRDefault="00A05C35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E98F1C3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2C7FB808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3AC3DDDA" w14:textId="77777777" w:rsidR="00A05C35" w:rsidRDefault="00A05C35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5DB71BE5" w14:textId="77777777" w:rsidR="00A05C35" w:rsidRDefault="00A05C35" w:rsidP="00A05C35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54B618AD" w14:textId="77777777" w:rsidR="00A05C35" w:rsidRDefault="00A05C35" w:rsidP="00A05C35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68DD81AF" w14:textId="77777777" w:rsidR="00A05C35" w:rsidRDefault="00A05C35" w:rsidP="00A05C3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14C4F270" w14:textId="77777777" w:rsidR="00A05C35" w:rsidRDefault="00A05C35" w:rsidP="00A05C3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3C9E9E2" w14:textId="189C8155" w:rsidR="00876C9D" w:rsidRDefault="00A05C35" w:rsidP="00A05C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2025</w:t>
      </w:r>
    </w:p>
    <w:p w14:paraId="39A0FB1E" w14:textId="17AD05F3" w:rsidR="00876C9D" w:rsidRPr="00876C9D" w:rsidRDefault="00876C9D" w:rsidP="00876C9D">
      <w:pPr>
        <w:rPr>
          <w:rFonts w:ascii="Times New Roman" w:hAnsi="Times New Roman" w:cs="Times New Roman"/>
          <w:b/>
          <w:bCs/>
        </w:rPr>
      </w:pPr>
      <w:commentRangeStart w:id="1"/>
      <w:r w:rsidRPr="00876C9D">
        <w:rPr>
          <w:rFonts w:ascii="Times New Roman" w:hAnsi="Times New Roman" w:cs="Times New Roman"/>
          <w:b/>
          <w:bCs/>
        </w:rPr>
        <w:lastRenderedPageBreak/>
        <w:t>Задание 1. Определение поведения пользователя</w:t>
      </w:r>
      <w:commentRangeEnd w:id="1"/>
      <w:r>
        <w:rPr>
          <w:rStyle w:val="ad"/>
        </w:rPr>
        <w:commentReference w:id="1"/>
      </w:r>
    </w:p>
    <w:p w14:paraId="6FCE833D" w14:textId="77777777" w:rsidR="00876C9D" w:rsidRPr="00876C9D" w:rsidRDefault="00876C9D" w:rsidP="00876C9D">
      <w:p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Создайте веб-страницу, которая реагирует на активность пользователя:</w:t>
      </w:r>
    </w:p>
    <w:p w14:paraId="608DB717" w14:textId="77777777" w:rsidR="00876C9D" w:rsidRPr="00876C9D" w:rsidRDefault="00876C9D" w:rsidP="00876C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 xml:space="preserve">Если пользователь </w:t>
      </w:r>
      <w:r w:rsidRPr="00876C9D">
        <w:rPr>
          <w:rFonts w:ascii="Times New Roman" w:hAnsi="Times New Roman" w:cs="Times New Roman"/>
          <w:b/>
          <w:bCs/>
        </w:rPr>
        <w:t>не двигает мышью и не кликает 15 секунд</w:t>
      </w:r>
      <w:r w:rsidRPr="00876C9D">
        <w:rPr>
          <w:rFonts w:ascii="Times New Roman" w:hAnsi="Times New Roman" w:cs="Times New Roman"/>
        </w:rPr>
        <w:t xml:space="preserve"> — вывести баннер с текстом «Вы здесь?» и кнопкой «Да».</w:t>
      </w:r>
    </w:p>
    <w:p w14:paraId="37B5D7FB" w14:textId="77777777" w:rsidR="00876C9D" w:rsidRPr="00876C9D" w:rsidRDefault="00876C9D" w:rsidP="00876C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Если пользователь возвращается (движение мыши / клик) — баннер исчезает.</w:t>
      </w:r>
    </w:p>
    <w:p w14:paraId="562B7DDE" w14:textId="77777777" w:rsidR="00876C9D" w:rsidRPr="00876C9D" w:rsidRDefault="00876C9D" w:rsidP="00876C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Добавьте счётчик количества кликов и выводите его в углу страницы.</w:t>
      </w:r>
    </w:p>
    <w:p w14:paraId="3ADD7F2C" w14:textId="77777777" w:rsidR="00876C9D" w:rsidRPr="00876C9D" w:rsidRDefault="00876C9D" w:rsidP="00876C9D">
      <w:pPr>
        <w:rPr>
          <w:rFonts w:ascii="Times New Roman" w:hAnsi="Times New Roman" w:cs="Times New Roman"/>
          <w:b/>
          <w:bCs/>
        </w:rPr>
      </w:pPr>
      <w:commentRangeStart w:id="2"/>
      <w:r w:rsidRPr="00876C9D">
        <w:rPr>
          <w:rFonts w:ascii="Times New Roman" w:hAnsi="Times New Roman" w:cs="Times New Roman"/>
          <w:b/>
          <w:bCs/>
        </w:rPr>
        <w:t>Задание 2. Адаптивная вёрстка под размер экрана</w:t>
      </w:r>
      <w:commentRangeEnd w:id="2"/>
      <w:r>
        <w:rPr>
          <w:rStyle w:val="ad"/>
        </w:rPr>
        <w:commentReference w:id="2"/>
      </w:r>
    </w:p>
    <w:p w14:paraId="5E64A156" w14:textId="77777777" w:rsidR="00876C9D" w:rsidRPr="00876C9D" w:rsidRDefault="00876C9D" w:rsidP="00876C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Создайте страницу с блоками: шапка, меню, контент, футер.</w:t>
      </w:r>
    </w:p>
    <w:p w14:paraId="558E3EBA" w14:textId="77777777" w:rsidR="00876C9D" w:rsidRPr="00876C9D" w:rsidRDefault="00876C9D" w:rsidP="00876C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 xml:space="preserve">Используйте </w:t>
      </w:r>
      <w:r w:rsidRPr="00876C9D">
        <w:rPr>
          <w:rFonts w:ascii="Times New Roman" w:hAnsi="Times New Roman" w:cs="Times New Roman"/>
          <w:b/>
          <w:bCs/>
        </w:rPr>
        <w:t>медиа-запросы CSS (@media)</w:t>
      </w:r>
      <w:r w:rsidRPr="00876C9D">
        <w:rPr>
          <w:rFonts w:ascii="Times New Roman" w:hAnsi="Times New Roman" w:cs="Times New Roman"/>
        </w:rPr>
        <w:t>, чтобы при ширине окна:</w:t>
      </w:r>
    </w:p>
    <w:p w14:paraId="4D094148" w14:textId="77777777" w:rsidR="00876C9D" w:rsidRPr="00876C9D" w:rsidRDefault="00876C9D" w:rsidP="00876C9D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1024 px — меню горизонтальное;</w:t>
      </w:r>
    </w:p>
    <w:p w14:paraId="771A4D95" w14:textId="77777777" w:rsidR="00876C9D" w:rsidRPr="00876C9D" w:rsidRDefault="00876C9D" w:rsidP="00876C9D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768–1024 px — меню становится кнопкой «бургер»;</w:t>
      </w:r>
    </w:p>
    <w:p w14:paraId="471F3295" w14:textId="77777777" w:rsidR="00876C9D" w:rsidRPr="00876C9D" w:rsidRDefault="00876C9D" w:rsidP="00876C9D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&lt;768 px — контент перестраивается в столбик, шрифт увеличивается.</w:t>
      </w:r>
    </w:p>
    <w:p w14:paraId="2A6421A8" w14:textId="77777777" w:rsidR="00876C9D" w:rsidRPr="00876C9D" w:rsidRDefault="00876C9D" w:rsidP="00876C9D">
      <w:pPr>
        <w:rPr>
          <w:rFonts w:ascii="Times New Roman" w:hAnsi="Times New Roman" w:cs="Times New Roman"/>
          <w:b/>
          <w:bCs/>
        </w:rPr>
      </w:pPr>
      <w:r w:rsidRPr="00876C9D">
        <w:rPr>
          <w:rFonts w:ascii="Times New Roman" w:hAnsi="Times New Roman" w:cs="Times New Roman"/>
          <w:b/>
          <w:bCs/>
        </w:rPr>
        <w:t>Задание 3. Реакция на время суток</w:t>
      </w:r>
    </w:p>
    <w:p w14:paraId="5E6BEDC4" w14:textId="77777777" w:rsidR="00876C9D" w:rsidRPr="00876C9D" w:rsidRDefault="00876C9D" w:rsidP="00876C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Определите текущее время через объект Date.</w:t>
      </w:r>
    </w:p>
    <w:p w14:paraId="6D8D59D5" w14:textId="77777777" w:rsidR="00876C9D" w:rsidRPr="00876C9D" w:rsidRDefault="00876C9D" w:rsidP="00876C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Если время между 21:00 – 7:00 — примените тёмную тему (body.classList.add('night')), иначе светлую.</w:t>
      </w:r>
    </w:p>
    <w:p w14:paraId="692C1B4A" w14:textId="583DAF77" w:rsidR="00876C9D" w:rsidRPr="00876C9D" w:rsidRDefault="00876C9D" w:rsidP="00876C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При смене темы изменяются цвета фона и текста (CSS-класс night).</w:t>
      </w:r>
    </w:p>
    <w:p w14:paraId="5C1FC2A5" w14:textId="77777777" w:rsidR="00876C9D" w:rsidRPr="00876C9D" w:rsidRDefault="00876C9D" w:rsidP="00876C9D">
      <w:pPr>
        <w:rPr>
          <w:rFonts w:ascii="Times New Roman" w:hAnsi="Times New Roman" w:cs="Times New Roman"/>
          <w:b/>
          <w:bCs/>
        </w:rPr>
      </w:pPr>
      <w:commentRangeStart w:id="3"/>
      <w:r w:rsidRPr="00876C9D">
        <w:rPr>
          <w:rFonts w:ascii="Times New Roman" w:hAnsi="Times New Roman" w:cs="Times New Roman"/>
          <w:b/>
          <w:bCs/>
        </w:rPr>
        <w:t>Задание 4. Поведение на основе действий</w:t>
      </w:r>
      <w:commentRangeEnd w:id="3"/>
      <w:r>
        <w:rPr>
          <w:rStyle w:val="ad"/>
        </w:rPr>
        <w:commentReference w:id="3"/>
      </w:r>
    </w:p>
    <w:p w14:paraId="497B08D6" w14:textId="3490B4CF" w:rsidR="00876C9D" w:rsidRPr="00876C9D" w:rsidRDefault="00876C9D" w:rsidP="00876C9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Добавьте кнопку «Мне нравится».</w:t>
      </w:r>
    </w:p>
    <w:p w14:paraId="100ECBDE" w14:textId="77777777" w:rsidR="00876C9D" w:rsidRPr="00876C9D" w:rsidRDefault="00876C9D" w:rsidP="00876C9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 xml:space="preserve">Если пользователь нажимает 3 раза подряд — появляется надпись </w:t>
      </w:r>
      <w:r w:rsidRPr="00876C9D">
        <w:rPr>
          <w:rFonts w:ascii="Times New Roman" w:hAnsi="Times New Roman" w:cs="Times New Roman"/>
          <w:i/>
          <w:iCs/>
        </w:rPr>
        <w:t>«Вы активный пользователь!»</w:t>
      </w:r>
      <w:r w:rsidRPr="00876C9D">
        <w:rPr>
          <w:rFonts w:ascii="Times New Roman" w:hAnsi="Times New Roman" w:cs="Times New Roman"/>
        </w:rPr>
        <w:t>.</w:t>
      </w:r>
    </w:p>
    <w:p w14:paraId="22AFBA20" w14:textId="77777777" w:rsidR="00876C9D" w:rsidRPr="00876C9D" w:rsidRDefault="00876C9D" w:rsidP="00876C9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После 5 секунд без нажатий надпись исчезает.</w:t>
      </w:r>
    </w:p>
    <w:p w14:paraId="3DF95756" w14:textId="77777777" w:rsidR="00876C9D" w:rsidRPr="00876C9D" w:rsidRDefault="00876C9D" w:rsidP="00876C9D">
      <w:pPr>
        <w:rPr>
          <w:rFonts w:ascii="Times New Roman" w:hAnsi="Times New Roman" w:cs="Times New Roman"/>
          <w:b/>
          <w:bCs/>
        </w:rPr>
      </w:pPr>
      <w:r w:rsidRPr="00876C9D">
        <w:rPr>
          <w:rFonts w:ascii="Times New Roman" w:hAnsi="Times New Roman" w:cs="Times New Roman"/>
          <w:b/>
          <w:bCs/>
        </w:rPr>
        <w:t>Задание 5. Мини-анализ взаимодействий (опционально)</w:t>
      </w:r>
    </w:p>
    <w:p w14:paraId="21985696" w14:textId="77777777" w:rsidR="00876C9D" w:rsidRDefault="00876C9D" w:rsidP="00876C9D">
      <w:p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Добавьте таблицу, где фиксируются события: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76C9D" w14:paraId="0C50AB8C" w14:textId="77777777" w:rsidTr="00BE169B">
        <w:tc>
          <w:tcPr>
            <w:tcW w:w="3115" w:type="dxa"/>
            <w:vAlign w:val="center"/>
          </w:tcPr>
          <w:p w14:paraId="6711934D" w14:textId="647C8940" w:rsidR="00876C9D" w:rsidRDefault="00876C9D" w:rsidP="00876C9D">
            <w:pPr>
              <w:rPr>
                <w:rFonts w:ascii="Times New Roman" w:hAnsi="Times New Roman" w:cs="Times New Roman"/>
              </w:rPr>
            </w:pPr>
            <w:r w:rsidRPr="00876C9D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3115" w:type="dxa"/>
            <w:vAlign w:val="center"/>
          </w:tcPr>
          <w:p w14:paraId="284CE809" w14:textId="18AA4C92" w:rsidR="00876C9D" w:rsidRDefault="00876C9D" w:rsidP="00876C9D">
            <w:pPr>
              <w:rPr>
                <w:rFonts w:ascii="Times New Roman" w:hAnsi="Times New Roman" w:cs="Times New Roman"/>
              </w:rPr>
            </w:pPr>
            <w:r w:rsidRPr="00876C9D">
              <w:rPr>
                <w:rFonts w:ascii="Times New Roman" w:hAnsi="Times New Roman" w:cs="Times New Roman"/>
                <w:b/>
                <w:bCs/>
              </w:rPr>
              <w:t>Событие</w:t>
            </w:r>
          </w:p>
        </w:tc>
        <w:tc>
          <w:tcPr>
            <w:tcW w:w="3115" w:type="dxa"/>
            <w:vAlign w:val="center"/>
          </w:tcPr>
          <w:p w14:paraId="296E6CCD" w14:textId="58483B3A" w:rsidR="00876C9D" w:rsidRDefault="00876C9D" w:rsidP="00876C9D">
            <w:pPr>
              <w:rPr>
                <w:rFonts w:ascii="Times New Roman" w:hAnsi="Times New Roman" w:cs="Times New Roman"/>
              </w:rPr>
            </w:pPr>
            <w:r w:rsidRPr="00876C9D">
              <w:rPr>
                <w:rFonts w:ascii="Times New Roman" w:hAnsi="Times New Roman" w:cs="Times New Roman"/>
                <w:b/>
                <w:bCs/>
              </w:rPr>
              <w:t>Доп. информация</w:t>
            </w:r>
          </w:p>
        </w:tc>
      </w:tr>
      <w:tr w:rsidR="00876C9D" w14:paraId="1FC892CC" w14:textId="77777777" w:rsidTr="00BE169B">
        <w:tc>
          <w:tcPr>
            <w:tcW w:w="3115" w:type="dxa"/>
            <w:vAlign w:val="center"/>
          </w:tcPr>
          <w:p w14:paraId="0DD1E0BF" w14:textId="66151721" w:rsidR="00876C9D" w:rsidRDefault="00876C9D" w:rsidP="00876C9D">
            <w:pPr>
              <w:rPr>
                <w:rFonts w:ascii="Times New Roman" w:hAnsi="Times New Roman" w:cs="Times New Roman"/>
              </w:rPr>
            </w:pPr>
            <w:r w:rsidRPr="00876C9D"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3115" w:type="dxa"/>
            <w:vAlign w:val="center"/>
          </w:tcPr>
          <w:p w14:paraId="47A7AC6B" w14:textId="52253EE1" w:rsidR="00876C9D" w:rsidRDefault="00876C9D" w:rsidP="00876C9D">
            <w:pPr>
              <w:rPr>
                <w:rFonts w:ascii="Times New Roman" w:hAnsi="Times New Roman" w:cs="Times New Roman"/>
              </w:rPr>
            </w:pPr>
            <w:r w:rsidRPr="00876C9D">
              <w:rPr>
                <w:rFonts w:ascii="Times New Roman" w:hAnsi="Times New Roman" w:cs="Times New Roman"/>
              </w:rPr>
              <w:t>click</w:t>
            </w:r>
          </w:p>
        </w:tc>
        <w:tc>
          <w:tcPr>
            <w:tcW w:w="3115" w:type="dxa"/>
            <w:vAlign w:val="center"/>
          </w:tcPr>
          <w:p w14:paraId="068E6515" w14:textId="79EA1B2C" w:rsidR="00876C9D" w:rsidRDefault="00876C9D" w:rsidP="00876C9D">
            <w:pPr>
              <w:rPr>
                <w:rFonts w:ascii="Times New Roman" w:hAnsi="Times New Roman" w:cs="Times New Roman"/>
              </w:rPr>
            </w:pPr>
            <w:r w:rsidRPr="00876C9D">
              <w:rPr>
                <w:rFonts w:ascii="Times New Roman" w:hAnsi="Times New Roman" w:cs="Times New Roman"/>
              </w:rPr>
              <w:t>ID кнопки</w:t>
            </w:r>
          </w:p>
        </w:tc>
      </w:tr>
      <w:tr w:rsidR="00876C9D" w14:paraId="1C62626B" w14:textId="77777777" w:rsidTr="00BE169B">
        <w:tc>
          <w:tcPr>
            <w:tcW w:w="3115" w:type="dxa"/>
            <w:vAlign w:val="center"/>
          </w:tcPr>
          <w:p w14:paraId="6CB4707A" w14:textId="2521543B" w:rsidR="00876C9D" w:rsidRDefault="00876C9D" w:rsidP="00876C9D">
            <w:pPr>
              <w:rPr>
                <w:rFonts w:ascii="Times New Roman" w:hAnsi="Times New Roman" w:cs="Times New Roman"/>
              </w:rPr>
            </w:pPr>
            <w:r w:rsidRPr="00876C9D">
              <w:rPr>
                <w:rFonts w:ascii="Times New Roman" w:hAnsi="Times New Roman" w:cs="Times New Roman"/>
              </w:rPr>
              <w:t>12:46</w:t>
            </w:r>
          </w:p>
        </w:tc>
        <w:tc>
          <w:tcPr>
            <w:tcW w:w="3115" w:type="dxa"/>
            <w:vAlign w:val="center"/>
          </w:tcPr>
          <w:p w14:paraId="614BE663" w14:textId="0AA92EFB" w:rsidR="00876C9D" w:rsidRDefault="00876C9D" w:rsidP="00876C9D">
            <w:pPr>
              <w:rPr>
                <w:rFonts w:ascii="Times New Roman" w:hAnsi="Times New Roman" w:cs="Times New Roman"/>
              </w:rPr>
            </w:pPr>
            <w:r w:rsidRPr="00876C9D">
              <w:rPr>
                <w:rFonts w:ascii="Times New Roman" w:hAnsi="Times New Roman" w:cs="Times New Roman"/>
              </w:rPr>
              <w:t>idle</w:t>
            </w:r>
          </w:p>
        </w:tc>
        <w:tc>
          <w:tcPr>
            <w:tcW w:w="3115" w:type="dxa"/>
            <w:vAlign w:val="center"/>
          </w:tcPr>
          <w:p w14:paraId="37D25DB9" w14:textId="177C1AF8" w:rsidR="00876C9D" w:rsidRDefault="00876C9D" w:rsidP="00876C9D">
            <w:pPr>
              <w:rPr>
                <w:rFonts w:ascii="Times New Roman" w:hAnsi="Times New Roman" w:cs="Times New Roman"/>
              </w:rPr>
            </w:pPr>
            <w:r w:rsidRPr="00876C9D">
              <w:rPr>
                <w:rFonts w:ascii="Times New Roman" w:hAnsi="Times New Roman" w:cs="Times New Roman"/>
              </w:rPr>
              <w:t>15 сек без действий</w:t>
            </w:r>
          </w:p>
        </w:tc>
      </w:tr>
    </w:tbl>
    <w:p w14:paraId="723065F5" w14:textId="77777777" w:rsidR="00876C9D" w:rsidRPr="00876C9D" w:rsidRDefault="00876C9D" w:rsidP="00876C9D">
      <w:pPr>
        <w:rPr>
          <w:rFonts w:ascii="Times New Roman" w:hAnsi="Times New Roman" w:cs="Times New Roman"/>
        </w:rPr>
      </w:pPr>
    </w:p>
    <w:p w14:paraId="78F2D4D6" w14:textId="77777777" w:rsidR="00876C9D" w:rsidRPr="00876C9D" w:rsidRDefault="00876C9D" w:rsidP="00876C9D">
      <w:pPr>
        <w:rPr>
          <w:rFonts w:ascii="Times New Roman" w:hAnsi="Times New Roman" w:cs="Times New Roman"/>
        </w:rPr>
      </w:pPr>
      <w:r w:rsidRPr="00876C9D">
        <w:rPr>
          <w:rFonts w:ascii="Times New Roman" w:hAnsi="Times New Roman" w:cs="Times New Roman"/>
        </w:rPr>
        <w:t>Таблица обновляется в реальном времени через JS (добавление строк в DOM).</w:t>
      </w:r>
    </w:p>
    <w:p w14:paraId="112EFCE1" w14:textId="59371F0F" w:rsidR="007018A4" w:rsidRPr="00876C9D" w:rsidRDefault="00876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6. Прикрепить ссылку на вашу песочницу в ЛМС</w:t>
      </w:r>
    </w:p>
    <w:sectPr w:rsidR="007018A4" w:rsidRPr="0087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derekkraven" w:date="2025-10-08T13:12:00Z" w:initials="d">
    <w:p w14:paraId="4A46658E" w14:textId="77777777" w:rsidR="00876C9D" w:rsidRPr="00876C9D" w:rsidRDefault="00876C9D" w:rsidP="00876C9D">
      <w:pPr>
        <w:rPr>
          <w:rFonts w:ascii="Times New Roman" w:hAnsi="Times New Roman" w:cs="Times New Roman"/>
          <w:lang w:val="en-US"/>
        </w:rPr>
      </w:pPr>
      <w:r>
        <w:rPr>
          <w:rStyle w:val="ad"/>
        </w:rPr>
        <w:annotationRef/>
      </w:r>
      <w:r w:rsidRPr="00876C9D">
        <w:rPr>
          <w:rFonts w:ascii="Times New Roman" w:hAnsi="Times New Roman" w:cs="Times New Roman"/>
          <w:i/>
          <w:iCs/>
        </w:rPr>
        <w:t>Подсказка</w:t>
      </w:r>
      <w:r w:rsidRPr="00876C9D">
        <w:rPr>
          <w:rFonts w:ascii="Times New Roman" w:hAnsi="Times New Roman" w:cs="Times New Roman"/>
          <w:i/>
          <w:iCs/>
          <w:lang w:val="en-US"/>
        </w:rPr>
        <w:t>:</w:t>
      </w:r>
      <w:r w:rsidRPr="00876C9D">
        <w:rPr>
          <w:rFonts w:ascii="Times New Roman" w:hAnsi="Times New Roman" w:cs="Times New Roman"/>
          <w:lang w:val="en-US"/>
        </w:rPr>
        <w:t xml:space="preserve"> </w:t>
      </w:r>
      <w:r w:rsidRPr="00876C9D">
        <w:rPr>
          <w:rFonts w:ascii="Times New Roman" w:hAnsi="Times New Roman" w:cs="Times New Roman"/>
        </w:rPr>
        <w:t>используйте</w:t>
      </w:r>
      <w:r w:rsidRPr="00876C9D">
        <w:rPr>
          <w:rFonts w:ascii="Times New Roman" w:hAnsi="Times New Roman" w:cs="Times New Roman"/>
          <w:lang w:val="en-US"/>
        </w:rPr>
        <w:t xml:space="preserve"> </w:t>
      </w:r>
      <w:r w:rsidRPr="00876C9D">
        <w:rPr>
          <w:rFonts w:ascii="Times New Roman" w:hAnsi="Times New Roman" w:cs="Times New Roman"/>
        </w:rPr>
        <w:t>события</w:t>
      </w:r>
      <w:r w:rsidRPr="00876C9D">
        <w:rPr>
          <w:rFonts w:ascii="Times New Roman" w:hAnsi="Times New Roman" w:cs="Times New Roman"/>
          <w:lang w:val="en-US"/>
        </w:rPr>
        <w:t xml:space="preserve"> mousemove, click, setTimeout(), clearTimeout().</w:t>
      </w:r>
    </w:p>
    <w:p w14:paraId="43FA90B7" w14:textId="09B2D115" w:rsidR="00876C9D" w:rsidRPr="00876C9D" w:rsidRDefault="00876C9D">
      <w:pPr>
        <w:pStyle w:val="ae"/>
        <w:rPr>
          <w:lang w:val="en-US"/>
        </w:rPr>
      </w:pPr>
    </w:p>
  </w:comment>
  <w:comment w:id="2" w:author="derekkraven" w:date="2025-10-08T13:12:00Z" w:initials="d">
    <w:p w14:paraId="190A53A8" w14:textId="77777777" w:rsidR="00876C9D" w:rsidRPr="00876C9D" w:rsidRDefault="00876C9D" w:rsidP="00876C9D">
      <w:pPr>
        <w:rPr>
          <w:rFonts w:ascii="Times New Roman" w:hAnsi="Times New Roman" w:cs="Times New Roman"/>
        </w:rPr>
      </w:pPr>
      <w:r>
        <w:rPr>
          <w:rStyle w:val="ad"/>
        </w:rPr>
        <w:annotationRef/>
      </w:r>
      <w:r w:rsidRPr="00876C9D">
        <w:rPr>
          <w:rFonts w:ascii="Times New Roman" w:hAnsi="Times New Roman" w:cs="Times New Roman"/>
          <w:i/>
          <w:iCs/>
        </w:rPr>
        <w:t>Подсказка:</w:t>
      </w:r>
      <w:r w:rsidRPr="00876C9D">
        <w:rPr>
          <w:rFonts w:ascii="Times New Roman" w:hAnsi="Times New Roman" w:cs="Times New Roman"/>
        </w:rPr>
        <w:t xml:space="preserve"> можно реализовать «бургер» через display: none → display: block и переключение классов.</w:t>
      </w:r>
    </w:p>
    <w:p w14:paraId="59AD97A3" w14:textId="3C381538" w:rsidR="00876C9D" w:rsidRDefault="00876C9D">
      <w:pPr>
        <w:pStyle w:val="ae"/>
      </w:pPr>
    </w:p>
  </w:comment>
  <w:comment w:id="3" w:author="derekkraven" w:date="2025-10-08T13:13:00Z" w:initials="d">
    <w:p w14:paraId="0BC18D14" w14:textId="77777777" w:rsidR="00876C9D" w:rsidRPr="00876C9D" w:rsidRDefault="00876C9D" w:rsidP="00876C9D">
      <w:pPr>
        <w:rPr>
          <w:rFonts w:ascii="Times New Roman" w:hAnsi="Times New Roman" w:cs="Times New Roman"/>
        </w:rPr>
      </w:pPr>
      <w:r>
        <w:rPr>
          <w:rStyle w:val="ad"/>
        </w:rPr>
        <w:annotationRef/>
      </w:r>
      <w:r w:rsidRPr="00876C9D">
        <w:rPr>
          <w:rFonts w:ascii="Times New Roman" w:hAnsi="Times New Roman" w:cs="Times New Roman"/>
          <w:i/>
          <w:iCs/>
        </w:rPr>
        <w:t>Подсказка:</w:t>
      </w:r>
      <w:r w:rsidRPr="00876C9D">
        <w:rPr>
          <w:rFonts w:ascii="Times New Roman" w:hAnsi="Times New Roman" w:cs="Times New Roman"/>
        </w:rPr>
        <w:t xml:space="preserve"> можно считать клики и обнулять счётчик через setTimeout().</w:t>
      </w:r>
    </w:p>
    <w:p w14:paraId="756A5A1E" w14:textId="1B4DEDEB" w:rsidR="00876C9D" w:rsidRDefault="00876C9D">
      <w:pPr>
        <w:pStyle w:val="a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FA90B7" w15:done="0"/>
  <w15:commentEx w15:paraId="59AD97A3" w15:done="0"/>
  <w15:commentEx w15:paraId="756A5A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F8107D9" w16cex:dateUtc="2025-10-08T10:12:00Z"/>
  <w16cex:commentExtensible w16cex:durableId="13578F30" w16cex:dateUtc="2025-10-08T10:12:00Z"/>
  <w16cex:commentExtensible w16cex:durableId="78140A29" w16cex:dateUtc="2025-10-08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FA90B7" w16cid:durableId="1F8107D9"/>
  <w16cid:commentId w16cid:paraId="59AD97A3" w16cid:durableId="13578F30"/>
  <w16cid:commentId w16cid:paraId="756A5A1E" w16cid:durableId="78140A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6F7D"/>
    <w:multiLevelType w:val="multilevel"/>
    <w:tmpl w:val="BE36A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E7487"/>
    <w:multiLevelType w:val="multilevel"/>
    <w:tmpl w:val="44C8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017EE"/>
    <w:multiLevelType w:val="multilevel"/>
    <w:tmpl w:val="95F4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03DDE"/>
    <w:multiLevelType w:val="multilevel"/>
    <w:tmpl w:val="40FE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rekkraven">
    <w15:presenceInfo w15:providerId="None" w15:userId="derekkrav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9D"/>
    <w:rsid w:val="000E3028"/>
    <w:rsid w:val="001C1640"/>
    <w:rsid w:val="00235E23"/>
    <w:rsid w:val="007018A4"/>
    <w:rsid w:val="00876C9D"/>
    <w:rsid w:val="00A05C35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524A"/>
  <w15:chartTrackingRefBased/>
  <w15:docId w15:val="{5F1C3331-B801-4FA7-A981-890B0230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6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6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6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6C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6C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6C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6C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6C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6C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6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6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6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6C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6C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6C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6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6C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6C9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7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76C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76C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76C9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6C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6C9D"/>
    <w:rPr>
      <w:b/>
      <w:bCs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A05C35"/>
    <w:pPr>
      <w:spacing w:after="12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3">
    <w:name w:val="Основной текст Знак"/>
    <w:basedOn w:val="a0"/>
    <w:link w:val="af2"/>
    <w:uiPriority w:val="99"/>
    <w:rsid w:val="00A05C35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5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3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derekkraven</dc:creator>
  <cp:keywords/>
  <dc:description/>
  <cp:lastModifiedBy>Gvadoskr</cp:lastModifiedBy>
  <cp:revision>2</cp:revision>
  <dcterms:created xsi:type="dcterms:W3CDTF">2025-10-08T10:09:00Z</dcterms:created>
  <dcterms:modified xsi:type="dcterms:W3CDTF">2025-12-07T19:41:00Z</dcterms:modified>
</cp:coreProperties>
</file>